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sz w:val="21"/>
        </w:rPr>
      </w:pPr>
      <w:bookmarkStart w:id="0" w:name="_GoBack"/>
      <w:bookmarkEnd w:id="0"/>
    </w:p>
    <w:p>
      <w:pPr>
        <w:spacing w:before="52"/>
        <w:ind w:left="146" w:right="287"/>
        <w:jc w:val="center"/>
        <w:rPr>
          <w:sz w:val="36"/>
        </w:rPr>
      </w:pPr>
      <w:r>
        <w:rPr>
          <w:spacing w:val="-2"/>
          <w:sz w:val="36"/>
        </w:rPr>
        <w:t>青海省中医院</w:t>
      </w:r>
    </w:p>
    <w:p>
      <w:pPr>
        <w:spacing w:before="198"/>
        <w:ind w:left="150" w:right="287"/>
        <w:jc w:val="center"/>
        <w:rPr>
          <w:sz w:val="36"/>
        </w:rPr>
      </w:pPr>
      <w:r>
        <w:rPr>
          <w:rFonts w:ascii="Times New Roman" w:hAnsi="Times New Roman" w:eastAsia="Times New Roman"/>
          <w:sz w:val="36"/>
        </w:rPr>
        <w:t>202</w:t>
      </w:r>
      <w:r>
        <w:rPr>
          <w:rFonts w:hint="eastAsia" w:ascii="Times New Roman" w:hAnsi="Times New Roman" w:eastAsiaTheme="minorEastAsia"/>
          <w:sz w:val="36"/>
        </w:rPr>
        <w:t>2</w:t>
      </w:r>
      <w:r>
        <w:rPr>
          <w:rFonts w:ascii="Times New Roman" w:hAnsi="Times New Roman" w:eastAsia="Times New Roman"/>
          <w:sz w:val="36"/>
        </w:rPr>
        <w:t>—202</w:t>
      </w:r>
      <w:r>
        <w:rPr>
          <w:rFonts w:hint="eastAsia" w:ascii="Times New Roman" w:hAnsi="Times New Roman" w:eastAsiaTheme="minorEastAsia"/>
          <w:sz w:val="36"/>
        </w:rPr>
        <w:t>3</w:t>
      </w:r>
      <w:r>
        <w:rPr>
          <w:rFonts w:ascii="Times New Roman" w:hAnsi="Times New Roman" w:eastAsia="Times New Roman"/>
          <w:spacing w:val="-2"/>
          <w:sz w:val="36"/>
        </w:rPr>
        <w:t xml:space="preserve"> </w:t>
      </w:r>
      <w:r>
        <w:rPr>
          <w:spacing w:val="-2"/>
          <w:sz w:val="36"/>
        </w:rPr>
        <w:t>年地方政府债券情况</w:t>
      </w:r>
    </w:p>
    <w:p>
      <w:pPr>
        <w:pStyle w:val="2"/>
        <w:spacing w:before="361"/>
        <w:ind w:left="760"/>
      </w:pPr>
      <w:r>
        <w:rPr>
          <w:w w:val="95"/>
        </w:rPr>
        <w:t>一、基本情</w:t>
      </w:r>
      <w:r>
        <w:rPr>
          <w:spacing w:val="-10"/>
          <w:w w:val="95"/>
        </w:rPr>
        <w:t>况</w:t>
      </w:r>
    </w:p>
    <w:p>
      <w:pPr>
        <w:pStyle w:val="2"/>
        <w:spacing w:before="250" w:line="276" w:lineRule="auto"/>
        <w:ind w:firstLine="640" w:firstLineChars="200"/>
      </w:pPr>
      <w:r>
        <w:t>根据《青海省财政厅关于下达省级公立医院医疗服务能力提升</w:t>
      </w:r>
      <w:r>
        <w:rPr>
          <w:rFonts w:hint="eastAsia"/>
        </w:rPr>
        <w:t>（公立医院综合改革）</w:t>
      </w:r>
      <w:r>
        <w:t>补助资金的通知》（青财社字〔2022〕</w:t>
      </w:r>
      <w:r>
        <w:rPr>
          <w:rFonts w:hint="eastAsia"/>
        </w:rPr>
        <w:t>680</w:t>
      </w:r>
      <w:r>
        <w:t xml:space="preserve"> 号）</w:t>
      </w:r>
      <w:r>
        <w:rPr>
          <w:rFonts w:hint="eastAsia"/>
        </w:rPr>
        <w:t xml:space="preserve">和 </w:t>
      </w:r>
      <w:r>
        <w:t>（青财社字〔2022〕1877 号）文件，下</w:t>
      </w:r>
      <w:r>
        <w:rPr>
          <w:rFonts w:hint="eastAsia"/>
        </w:rPr>
        <w:t>拨</w:t>
      </w:r>
      <w:r>
        <w:t>我院地方政府</w:t>
      </w:r>
      <w:r>
        <w:rPr>
          <w:rFonts w:hint="eastAsia"/>
        </w:rPr>
        <w:t>专项</w:t>
      </w:r>
      <w:r>
        <w:t>债券（医疗服务与保障能力提升）0.</w:t>
      </w:r>
      <w:r>
        <w:rPr>
          <w:rFonts w:hint="eastAsia"/>
        </w:rPr>
        <w:t>1607</w:t>
      </w:r>
      <w:r>
        <w:t>亿元，债券类型为一般债券，债券规模 30 亿元，</w:t>
      </w:r>
      <w:r>
        <w:rPr>
          <w:rFonts w:hint="eastAsia"/>
        </w:rPr>
        <w:t>发</w:t>
      </w:r>
      <w:r>
        <w:t>行时间 2022 年 10 月 18 日；债券利率 2.58</w:t>
      </w:r>
      <w:r>
        <w:rPr>
          <w:rFonts w:hint="eastAsia"/>
        </w:rPr>
        <w:t>%</w:t>
      </w:r>
      <w:r>
        <w:t>，债券期限 3 年。债券资金主要用于购置各类医疗设备。</w:t>
      </w:r>
    </w:p>
    <w:p>
      <w:pPr>
        <w:pStyle w:val="2"/>
        <w:ind w:left="760"/>
      </w:pPr>
      <w:r>
        <w:rPr>
          <w:w w:val="95"/>
        </w:rPr>
        <w:t>二、支出情</w:t>
      </w:r>
      <w:r>
        <w:rPr>
          <w:spacing w:val="-10"/>
          <w:w w:val="95"/>
        </w:rPr>
        <w:t>况</w:t>
      </w:r>
    </w:p>
    <w:p>
      <w:pPr>
        <w:pStyle w:val="2"/>
        <w:spacing w:before="250" w:line="276" w:lineRule="auto"/>
        <w:ind w:firstLine="640" w:firstLineChars="200"/>
        <w:sectPr>
          <w:pgSz w:w="11910" w:h="16840"/>
          <w:pgMar w:top="1600" w:right="1540" w:bottom="280" w:left="1680" w:header="720" w:footer="720" w:gutter="0"/>
          <w:cols w:space="720" w:num="1"/>
        </w:sectPr>
      </w:pPr>
      <w:r>
        <w:t>截至2023年末，我院购置</w:t>
      </w:r>
      <w:r>
        <w:rPr>
          <w:rFonts w:hint="eastAsia"/>
        </w:rPr>
        <w:t>全自动微生物鉴定及药敏分析仪1台</w:t>
      </w:r>
      <w:r>
        <w:t>，</w:t>
      </w:r>
      <w:r>
        <w:rPr>
          <w:rFonts w:hint="eastAsia"/>
        </w:rPr>
        <w:t>93.88</w:t>
      </w:r>
      <w:r>
        <w:t>万元</w:t>
      </w:r>
      <w:r>
        <w:rPr>
          <w:rFonts w:hint="eastAsia"/>
        </w:rPr>
        <w:t>;蜡块柜3组、切片柜2组、冷动台2台，共5.88万元；离子导入治疗仪3台，2.95万元；等离子体空气净化消毒机5台、冷藏柜3台、离心机2台、自动脱帽离心机1台、超声雾化器3个、足浴器3个共13.77万元；监护仪14台、微量注射泵20台，共35.50万元；全数字化超高端彩色多普勒超声诊断仪1套349.00万元；除颤监护仪1台，23.40万元；多功组合训练器1套，75.20万元；网络安全等级保护项目款225.32万元；电子病历评级项目款137.10万元；电子艾灸治疗仪1台，9.03万元；关节镜1台，228.00万元；128排CT机1台，200.34万元；激光电子消化道内窥镜1台，207.63万元。</w:t>
      </w:r>
    </w:p>
    <w:p>
      <w:pPr>
        <w:pStyle w:val="2"/>
        <w:spacing w:before="1"/>
        <w:rPr>
          <w:sz w:val="25"/>
        </w:rPr>
      </w:pPr>
    </w:p>
    <w:p>
      <w:pPr>
        <w:pStyle w:val="2"/>
        <w:spacing w:before="54"/>
        <w:ind w:left="120"/>
      </w:pPr>
      <w:r>
        <w:rPr>
          <w:spacing w:val="-30"/>
          <w:w w:val="95"/>
        </w:rPr>
        <w:t xml:space="preserve">表 </w:t>
      </w:r>
      <w:r>
        <w:rPr>
          <w:spacing w:val="-10"/>
        </w:rPr>
        <w:t>1</w:t>
      </w:r>
    </w:p>
    <w:p>
      <w:pPr>
        <w:spacing w:before="158"/>
        <w:ind w:left="2053" w:right="2063"/>
        <w:jc w:val="center"/>
        <w:rPr>
          <w:rFonts w:ascii="微软雅黑" w:eastAsia="微软雅黑"/>
          <w:b/>
          <w:sz w:val="30"/>
        </w:rPr>
      </w:pPr>
      <w:r>
        <w:rPr>
          <w:rFonts w:ascii="微软雅黑" w:eastAsia="微软雅黑"/>
          <w:b/>
          <w:spacing w:val="-3"/>
          <w:sz w:val="30"/>
        </w:rPr>
        <w:t xml:space="preserve">青海省中医院 </w:t>
      </w:r>
      <w:r>
        <w:rPr>
          <w:rFonts w:ascii="微软雅黑" w:eastAsia="微软雅黑"/>
          <w:b/>
          <w:sz w:val="30"/>
        </w:rPr>
        <w:t>202</w:t>
      </w:r>
      <w:r>
        <w:rPr>
          <w:rFonts w:hint="eastAsia" w:ascii="微软雅黑" w:eastAsia="微软雅黑"/>
          <w:b/>
          <w:sz w:val="30"/>
        </w:rPr>
        <w:t>2</w:t>
      </w:r>
      <w:r>
        <w:rPr>
          <w:rFonts w:ascii="微软雅黑" w:eastAsia="微软雅黑"/>
          <w:b/>
          <w:spacing w:val="-6"/>
          <w:sz w:val="30"/>
        </w:rPr>
        <w:t xml:space="preserve"> 年-</w:t>
      </w:r>
      <w:r>
        <w:rPr>
          <w:rFonts w:ascii="微软雅黑" w:eastAsia="微软雅黑"/>
          <w:b/>
          <w:sz w:val="30"/>
        </w:rPr>
        <w:t>202</w:t>
      </w:r>
      <w:r>
        <w:rPr>
          <w:rFonts w:hint="eastAsia" w:ascii="微软雅黑" w:eastAsia="微软雅黑"/>
          <w:b/>
          <w:sz w:val="30"/>
        </w:rPr>
        <w:t>3</w:t>
      </w:r>
      <w:r>
        <w:rPr>
          <w:rFonts w:ascii="微软雅黑" w:eastAsia="微软雅黑"/>
          <w:b/>
          <w:spacing w:val="-5"/>
          <w:sz w:val="30"/>
        </w:rPr>
        <w:t xml:space="preserve"> 年末发行的新增地方政府一般债券情况表</w:t>
      </w:r>
    </w:p>
    <w:p>
      <w:pPr>
        <w:spacing w:before="92" w:line="324" w:lineRule="auto"/>
        <w:ind w:right="161" w:firstLine="13420" w:firstLineChars="6100"/>
        <w:rPr>
          <w:sz w:val="18"/>
        </w:rPr>
      </w:pPr>
      <w:r>
        <w:pict>
          <v:shape id="docshape1" o:spid="_x0000_s1026" o:spt="202" type="#_x0000_t202" style="position:absolute;left:0pt;margin-left:71pt;margin-top:33.7pt;height:196.6pt;width:715.25pt;mso-position-horizontal-relative:page;z-index:157286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14295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70"/>
                    <w:gridCol w:w="975"/>
                    <w:gridCol w:w="1185"/>
                    <w:gridCol w:w="990"/>
                    <w:gridCol w:w="1695"/>
                    <w:gridCol w:w="900"/>
                    <w:gridCol w:w="915"/>
                    <w:gridCol w:w="930"/>
                    <w:gridCol w:w="885"/>
                    <w:gridCol w:w="1005"/>
                    <w:gridCol w:w="1065"/>
                    <w:gridCol w:w="7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297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0" w:type="dxa"/>
                        <w:gridSpan w:val="6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4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债券基本信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息</w:t>
                        </w:r>
                      </w:p>
                    </w:tc>
                    <w:tc>
                      <w:tcPr>
                        <w:tcW w:w="1815" w:type="dxa"/>
                        <w:gridSpan w:val="2"/>
                        <w:tcBorders>
                          <w:top w:val="single" w:color="000000" w:sz="8" w:space="0"/>
                          <w:bottom w:val="nil"/>
                        </w:tcBorders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债券项目总</w:t>
                        </w:r>
                        <w:r>
                          <w:rPr>
                            <w:b/>
                            <w:spacing w:val="-5"/>
                            <w:w w:val="95"/>
                            <w:sz w:val="18"/>
                          </w:rPr>
                          <w:t>投资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  <w:tcBorders>
                          <w:top w:val="single" w:color="000000" w:sz="8" w:space="0"/>
                          <w:bottom w:val="nil"/>
                        </w:tcBorders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2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债券项目已实现投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资</w:t>
                        </w:r>
                      </w:p>
                    </w:tc>
                    <w:tc>
                      <w:tcPr>
                        <w:tcW w:w="780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ind w:left="2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备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4" w:hRule="atLeast"/>
                    </w:trPr>
                    <w:tc>
                      <w:tcPr>
                        <w:tcW w:w="2970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19"/>
                          <w:ind w:left="480" w:right="47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债券名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称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19"/>
                          <w:ind w:lef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债券编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码</w:t>
                        </w:r>
                      </w:p>
                    </w:tc>
                    <w:tc>
                      <w:tcPr>
                        <w:tcW w:w="1185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19"/>
                          <w:ind w:left="217" w:right="20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债券类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型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19"/>
                          <w:ind w:left="1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债券规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模</w:t>
                        </w:r>
                      </w:p>
                    </w:tc>
                    <w:tc>
                      <w:tcPr>
                        <w:tcW w:w="1695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19"/>
                          <w:ind w:left="14" w:right="-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4"/>
                            <w:w w:val="95"/>
                            <w:sz w:val="18"/>
                          </w:rPr>
                          <w:t>发行时间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（年/月/日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spacing w:line="324" w:lineRule="auto"/>
                          <w:ind w:left="314" w:right="77" w:hanging="2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债券利率 (%)</w:t>
                        </w:r>
                      </w:p>
                    </w:tc>
                    <w:tc>
                      <w:tcPr>
                        <w:tcW w:w="915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19"/>
                          <w:ind w:left="98" w:right="9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债券期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限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spacing w:line="324" w:lineRule="auto"/>
                          <w:ind w:left="79" w:right="6" w:hanging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2"/>
                            <w:sz w:val="18"/>
                          </w:rPr>
                          <w:t>其中：债券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资金安排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8"/>
                          <w:spacing w:line="324" w:lineRule="auto"/>
                          <w:ind w:left="260" w:right="5" w:hanging="2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2"/>
                            <w:sz w:val="18"/>
                          </w:rPr>
                          <w:t>其中：债券资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金安排</w:t>
                        </w:r>
                      </w:p>
                    </w:tc>
                    <w:tc>
                      <w:tcPr>
                        <w:tcW w:w="78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1" w:hRule="atLeast"/>
                    </w:trPr>
                    <w:tc>
                      <w:tcPr>
                        <w:tcW w:w="2970" w:type="dxa"/>
                      </w:tcPr>
                      <w:p>
                        <w:pPr>
                          <w:pStyle w:val="8"/>
                          <w:ind w:right="471"/>
                          <w:jc w:val="center"/>
                          <w:rPr>
                            <w:spacing w:val="-1"/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医疗服务与保障能力提升</w:t>
                        </w:r>
                        <w:r>
                          <w:rPr>
                            <w:rFonts w:hint="eastAsia"/>
                            <w:spacing w:val="-1"/>
                            <w:sz w:val="18"/>
                          </w:rPr>
                          <w:t>补助资金</w:t>
                        </w:r>
                      </w:p>
                      <w:p>
                        <w:pPr>
                          <w:pStyle w:val="8"/>
                          <w:ind w:left="480" w:right="47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2271745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217" w:right="2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一般债券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52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30.00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</w:t>
                        </w:r>
                        <w:r>
                          <w:rPr>
                            <w:rFonts w:hint="eastAsia"/>
                            <w:sz w:val="18"/>
                          </w:rPr>
                          <w:t>2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年 </w:t>
                        </w: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月 </w:t>
                        </w:r>
                        <w:r>
                          <w:rPr>
                            <w:sz w:val="18"/>
                          </w:rPr>
                          <w:t>18</w:t>
                        </w:r>
                        <w:r>
                          <w:rPr>
                            <w:spacing w:val="-28"/>
                            <w:sz w:val="18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26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2.58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98" w:right="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28"/>
                            <w:sz w:val="18"/>
                          </w:rPr>
                          <w:t xml:space="preserve"> 年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0.</w:t>
                        </w:r>
                        <w:r>
                          <w:rPr>
                            <w:rFonts w:hint="eastAsia"/>
                            <w:spacing w:val="-2"/>
                            <w:sz w:val="18"/>
                          </w:rPr>
                          <w:t>1607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jc w:val="center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2"/>
                            <w:sz w:val="18"/>
                          </w:rPr>
                          <w:t>0.1607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2"/>
                            <w:sz w:val="18"/>
                          </w:rPr>
                          <w:t>0.1607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8" w:space="0"/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2"/>
                            <w:sz w:val="18"/>
                          </w:rPr>
                          <w:t>0.1607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2" w:hRule="atLeast"/>
                    </w:trPr>
                    <w:tc>
                      <w:tcPr>
                        <w:tcW w:w="2970" w:type="dxa"/>
                      </w:tcPr>
                      <w:p>
                        <w:pPr>
                          <w:pStyle w:val="8"/>
                          <w:ind w:right="471"/>
                          <w:jc w:val="center"/>
                          <w:rPr>
                            <w:spacing w:val="-1"/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15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jc w:val="center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spacing w:val="-4"/>
          <w:sz w:val="18"/>
        </w:rPr>
        <w:t>单位：亿</w:t>
      </w:r>
      <w:r>
        <w:rPr>
          <w:spacing w:val="-10"/>
          <w:sz w:val="18"/>
        </w:rPr>
        <w:t>元</w:t>
      </w:r>
    </w:p>
    <w:p>
      <w:pPr>
        <w:spacing w:line="324" w:lineRule="auto"/>
        <w:rPr>
          <w:sz w:val="18"/>
        </w:rPr>
        <w:sectPr>
          <w:pgSz w:w="16840" w:h="11910" w:orient="landscape"/>
          <w:pgMar w:top="1340" w:right="1000" w:bottom="280" w:left="132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20"/>
        </w:rPr>
      </w:pPr>
    </w:p>
    <w:p>
      <w:pPr>
        <w:pStyle w:val="2"/>
        <w:spacing w:before="55"/>
        <w:ind w:left="275"/>
      </w:pPr>
      <w:r>
        <w:rPr>
          <w:spacing w:val="-30"/>
          <w:w w:val="95"/>
        </w:rPr>
        <w:t xml:space="preserve">表 </w:t>
      </w:r>
      <w:r>
        <w:rPr>
          <w:spacing w:val="-10"/>
        </w:rPr>
        <w:t>2</w:t>
      </w:r>
    </w:p>
    <w:p>
      <w:pPr>
        <w:spacing w:before="157"/>
        <w:ind w:left="2053" w:right="2296"/>
        <w:jc w:val="center"/>
        <w:rPr>
          <w:rFonts w:ascii="微软雅黑" w:eastAsia="微软雅黑"/>
          <w:b/>
          <w:sz w:val="30"/>
        </w:rPr>
      </w:pPr>
      <w:r>
        <w:rPr>
          <w:rFonts w:ascii="微软雅黑" w:eastAsia="微软雅黑"/>
          <w:b/>
          <w:spacing w:val="-3"/>
          <w:sz w:val="30"/>
        </w:rPr>
        <w:t xml:space="preserve">青海省中医院 </w:t>
      </w:r>
      <w:r>
        <w:rPr>
          <w:rFonts w:ascii="微软雅黑" w:eastAsia="微软雅黑"/>
          <w:b/>
          <w:sz w:val="30"/>
        </w:rPr>
        <w:t>202</w:t>
      </w:r>
      <w:r>
        <w:rPr>
          <w:rFonts w:hint="eastAsia" w:ascii="微软雅黑" w:eastAsia="微软雅黑"/>
          <w:b/>
          <w:sz w:val="30"/>
        </w:rPr>
        <w:t>2</w:t>
      </w:r>
      <w:r>
        <w:rPr>
          <w:rFonts w:ascii="微软雅黑" w:eastAsia="微软雅黑"/>
          <w:b/>
          <w:spacing w:val="-6"/>
          <w:sz w:val="30"/>
        </w:rPr>
        <w:t xml:space="preserve"> 年-</w:t>
      </w:r>
      <w:r>
        <w:rPr>
          <w:rFonts w:ascii="微软雅黑" w:eastAsia="微软雅黑"/>
          <w:b/>
          <w:sz w:val="30"/>
        </w:rPr>
        <w:t>202</w:t>
      </w:r>
      <w:r>
        <w:rPr>
          <w:rFonts w:hint="eastAsia" w:ascii="微软雅黑" w:eastAsia="微软雅黑"/>
          <w:b/>
          <w:sz w:val="30"/>
        </w:rPr>
        <w:t>3</w:t>
      </w:r>
      <w:r>
        <w:rPr>
          <w:rFonts w:ascii="微软雅黑" w:eastAsia="微软雅黑"/>
          <w:b/>
          <w:spacing w:val="-5"/>
          <w:sz w:val="30"/>
        </w:rPr>
        <w:t xml:space="preserve"> 年发行的新增地方政府一般债券资金收支情况表</w:t>
      </w:r>
    </w:p>
    <w:p>
      <w:pPr>
        <w:spacing w:before="80" w:after="26"/>
        <w:ind w:right="521"/>
        <w:jc w:val="right"/>
        <w:rPr>
          <w:sz w:val="20"/>
        </w:rPr>
      </w:pPr>
      <w:r>
        <w:rPr>
          <w:w w:val="95"/>
          <w:sz w:val="20"/>
        </w:rPr>
        <w:t>单位：亿</w:t>
      </w:r>
      <w:r>
        <w:rPr>
          <w:spacing w:val="-10"/>
          <w:w w:val="95"/>
          <w:sz w:val="20"/>
        </w:rPr>
        <w:t>元</w:t>
      </w:r>
    </w:p>
    <w:tbl>
      <w:tblPr>
        <w:tblStyle w:val="6"/>
        <w:tblW w:w="13750" w:type="dxa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4224"/>
        <w:gridCol w:w="2297"/>
        <w:gridCol w:w="3298"/>
        <w:gridCol w:w="2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59" w:type="dxa"/>
            <w:vMerge w:val="restart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557" w:right="54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序</w:t>
            </w:r>
            <w:r>
              <w:rPr>
                <w:b/>
                <w:spacing w:val="-10"/>
                <w:w w:val="95"/>
                <w:sz w:val="18"/>
              </w:rPr>
              <w:t>号</w:t>
            </w:r>
          </w:p>
        </w:tc>
        <w:tc>
          <w:tcPr>
            <w:tcW w:w="6521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spacing w:before="5"/>
              <w:rPr>
                <w:sz w:val="13"/>
              </w:rPr>
            </w:pPr>
          </w:p>
          <w:p>
            <w:pPr>
              <w:pStyle w:val="8"/>
              <w:ind w:left="15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202</w:t>
            </w:r>
            <w:r>
              <w:rPr>
                <w:rFonts w:hint="eastAsia"/>
                <w:b/>
                <w:w w:val="95"/>
                <w:sz w:val="18"/>
              </w:rPr>
              <w:t>2</w:t>
            </w:r>
            <w:r>
              <w:rPr>
                <w:b/>
                <w:w w:val="95"/>
                <w:sz w:val="18"/>
              </w:rPr>
              <w:t>年--202</w:t>
            </w:r>
            <w:r>
              <w:rPr>
                <w:rFonts w:hint="eastAsia"/>
                <w:b/>
                <w:w w:val="95"/>
                <w:sz w:val="18"/>
              </w:rPr>
              <w:t>3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年末新增一般债券资金收</w:t>
            </w:r>
            <w:r>
              <w:rPr>
                <w:b/>
                <w:spacing w:val="-10"/>
                <w:w w:val="95"/>
                <w:sz w:val="18"/>
              </w:rPr>
              <w:t>入</w:t>
            </w:r>
          </w:p>
        </w:tc>
        <w:tc>
          <w:tcPr>
            <w:tcW w:w="5670" w:type="dxa"/>
            <w:gridSpan w:val="2"/>
          </w:tcPr>
          <w:p>
            <w:pPr>
              <w:pStyle w:val="8"/>
              <w:spacing w:before="5"/>
              <w:rPr>
                <w:sz w:val="13"/>
              </w:rPr>
            </w:pPr>
          </w:p>
          <w:p>
            <w:pPr>
              <w:pStyle w:val="8"/>
              <w:ind w:left="8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202</w:t>
            </w:r>
            <w:r>
              <w:rPr>
                <w:rFonts w:hint="eastAsia"/>
                <w:b/>
                <w:w w:val="95"/>
                <w:sz w:val="18"/>
              </w:rPr>
              <w:t>2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年--202</w:t>
            </w:r>
            <w:r>
              <w:rPr>
                <w:rFonts w:hint="eastAsia"/>
                <w:b/>
                <w:w w:val="95"/>
                <w:sz w:val="18"/>
              </w:rPr>
              <w:t>3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年末新增一般债券资金安排的支</w:t>
            </w:r>
            <w:r>
              <w:rPr>
                <w:b/>
                <w:spacing w:val="-10"/>
                <w:w w:val="95"/>
                <w:sz w:val="18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>
            <w:pPr>
              <w:pStyle w:val="8"/>
              <w:spacing w:before="12"/>
              <w:rPr>
                <w:sz w:val="14"/>
              </w:rPr>
            </w:pPr>
          </w:p>
          <w:p>
            <w:pPr>
              <w:pStyle w:val="8"/>
              <w:ind w:left="1752" w:right="174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债券名</w:t>
            </w:r>
            <w:r>
              <w:rPr>
                <w:b/>
                <w:spacing w:val="-10"/>
                <w:w w:val="95"/>
                <w:sz w:val="18"/>
              </w:rPr>
              <w:t>称</w:t>
            </w:r>
          </w:p>
        </w:tc>
        <w:tc>
          <w:tcPr>
            <w:tcW w:w="229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rPr>
                <w:sz w:val="14"/>
              </w:rPr>
            </w:pPr>
          </w:p>
          <w:p>
            <w:pPr>
              <w:pStyle w:val="8"/>
              <w:ind w:left="960" w:right="95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金</w:t>
            </w:r>
            <w:r>
              <w:rPr>
                <w:b/>
                <w:spacing w:val="-10"/>
                <w:w w:val="95"/>
                <w:sz w:val="18"/>
              </w:rPr>
              <w:t>额</w:t>
            </w:r>
          </w:p>
        </w:tc>
        <w:tc>
          <w:tcPr>
            <w:tcW w:w="3298" w:type="dxa"/>
          </w:tcPr>
          <w:p>
            <w:pPr>
              <w:pStyle w:val="8"/>
              <w:spacing w:before="12"/>
              <w:rPr>
                <w:sz w:val="14"/>
              </w:rPr>
            </w:pPr>
          </w:p>
          <w:p>
            <w:pPr>
              <w:pStyle w:val="8"/>
              <w:ind w:left="834" w:right="82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支出功能分</w:t>
            </w:r>
            <w:r>
              <w:rPr>
                <w:b/>
                <w:spacing w:val="-10"/>
                <w:w w:val="95"/>
                <w:sz w:val="18"/>
              </w:rPr>
              <w:t>类</w:t>
            </w:r>
          </w:p>
        </w:tc>
        <w:tc>
          <w:tcPr>
            <w:tcW w:w="2372" w:type="dxa"/>
          </w:tcPr>
          <w:p>
            <w:pPr>
              <w:pStyle w:val="8"/>
              <w:spacing w:before="12"/>
              <w:rPr>
                <w:sz w:val="14"/>
              </w:rPr>
            </w:pPr>
          </w:p>
          <w:p>
            <w:pPr>
              <w:pStyle w:val="8"/>
              <w:ind w:left="998" w:right="990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金</w:t>
            </w:r>
            <w:r>
              <w:rPr>
                <w:b/>
                <w:spacing w:val="-10"/>
                <w:w w:val="95"/>
                <w:sz w:val="18"/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59" w:type="dxa"/>
          </w:tcPr>
          <w:p>
            <w:pPr>
              <w:pStyle w:val="8"/>
              <w:spacing w:before="12"/>
              <w:rPr>
                <w:sz w:val="15"/>
              </w:rPr>
            </w:pPr>
          </w:p>
          <w:p>
            <w:pPr>
              <w:pStyle w:val="8"/>
              <w:ind w:left="557" w:right="55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合</w:t>
            </w:r>
            <w:r>
              <w:rPr>
                <w:spacing w:val="-10"/>
                <w:sz w:val="21"/>
              </w:rPr>
              <w:t>计</w:t>
            </w:r>
          </w:p>
        </w:tc>
        <w:tc>
          <w:tcPr>
            <w:tcW w:w="42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7" w:type="dxa"/>
            <w:tcBorders>
              <w:top w:val="single" w:color="000000" w:sz="8" w:space="0"/>
            </w:tcBorders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ind w:right="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0.</w:t>
            </w:r>
            <w:r>
              <w:rPr>
                <w:rFonts w:hint="eastAsia" w:ascii="Times New Roman"/>
                <w:spacing w:val="-2"/>
                <w:sz w:val="21"/>
              </w:rPr>
              <w:t>1607</w:t>
            </w:r>
          </w:p>
        </w:tc>
        <w:tc>
          <w:tcPr>
            <w:tcW w:w="329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ind w:right="4"/>
              <w:jc w:val="right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pacing w:val="-2"/>
                <w:sz w:val="21"/>
              </w:rPr>
              <w:t>0.1607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59" w:type="dxa"/>
          </w:tcPr>
          <w:p>
            <w:pPr>
              <w:pStyle w:val="8"/>
              <w:spacing w:before="18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4224" w:type="dxa"/>
          </w:tcPr>
          <w:p>
            <w:pPr>
              <w:pStyle w:val="8"/>
              <w:spacing w:before="170"/>
              <w:ind w:left="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医疗服务与保障能力提升补助资金</w:t>
            </w:r>
          </w:p>
        </w:tc>
        <w:tc>
          <w:tcPr>
            <w:tcW w:w="2297" w:type="dxa"/>
          </w:tcPr>
          <w:p>
            <w:pPr>
              <w:pStyle w:val="8"/>
              <w:spacing w:before="184"/>
              <w:ind w:right="5"/>
              <w:jc w:val="right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pacing w:val="-4"/>
                <w:sz w:val="21"/>
              </w:rPr>
              <w:t>0.1607</w:t>
            </w:r>
          </w:p>
        </w:tc>
        <w:tc>
          <w:tcPr>
            <w:tcW w:w="3298" w:type="dxa"/>
          </w:tcPr>
          <w:p>
            <w:pPr>
              <w:pStyle w:val="8"/>
              <w:spacing w:before="170"/>
              <w:ind w:left="834" w:right="82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中医（民族）</w:t>
            </w:r>
            <w:r>
              <w:rPr>
                <w:spacing w:val="-5"/>
                <w:w w:val="95"/>
                <w:sz w:val="21"/>
              </w:rPr>
              <w:t>医院</w:t>
            </w:r>
          </w:p>
        </w:tc>
        <w:tc>
          <w:tcPr>
            <w:tcW w:w="2372" w:type="dxa"/>
          </w:tcPr>
          <w:p>
            <w:pPr>
              <w:pStyle w:val="8"/>
              <w:spacing w:before="184"/>
              <w:ind w:right="4"/>
              <w:jc w:val="right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pacing w:val="-4"/>
                <w:sz w:val="21"/>
              </w:rPr>
              <w:t>0.1607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59" w:type="dxa"/>
          </w:tcPr>
          <w:p>
            <w:pPr>
              <w:pStyle w:val="8"/>
              <w:spacing w:before="193"/>
              <w:ind w:left="8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224" w:type="dxa"/>
          </w:tcPr>
          <w:p>
            <w:pPr>
              <w:pStyle w:val="8"/>
              <w:spacing w:before="179"/>
              <w:ind w:left="14"/>
              <w:rPr>
                <w:sz w:val="21"/>
              </w:rPr>
            </w:pPr>
          </w:p>
        </w:tc>
        <w:tc>
          <w:tcPr>
            <w:tcW w:w="2297" w:type="dxa"/>
          </w:tcPr>
          <w:p>
            <w:pPr>
              <w:pStyle w:val="8"/>
              <w:spacing w:before="193"/>
              <w:ind w:right="3"/>
              <w:jc w:val="right"/>
              <w:rPr>
                <w:rFonts w:ascii="Times New Roman"/>
                <w:sz w:val="21"/>
              </w:rPr>
            </w:pPr>
          </w:p>
        </w:tc>
        <w:tc>
          <w:tcPr>
            <w:tcW w:w="3298" w:type="dxa"/>
          </w:tcPr>
          <w:p>
            <w:pPr>
              <w:pStyle w:val="8"/>
              <w:spacing w:before="179"/>
              <w:ind w:left="834" w:right="827"/>
              <w:jc w:val="center"/>
              <w:rPr>
                <w:sz w:val="21"/>
              </w:rPr>
            </w:pPr>
          </w:p>
        </w:tc>
        <w:tc>
          <w:tcPr>
            <w:tcW w:w="2372" w:type="dxa"/>
          </w:tcPr>
          <w:p>
            <w:pPr>
              <w:pStyle w:val="8"/>
              <w:spacing w:before="193"/>
              <w:ind w:right="4"/>
              <w:jc w:val="right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59" w:type="dxa"/>
          </w:tcPr>
          <w:p>
            <w:pPr>
              <w:pStyle w:val="8"/>
              <w:spacing w:before="195"/>
              <w:ind w:left="8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224" w:type="dxa"/>
          </w:tcPr>
          <w:p>
            <w:pPr>
              <w:pStyle w:val="8"/>
              <w:spacing w:before="1"/>
              <w:ind w:left="14"/>
              <w:rPr>
                <w:sz w:val="21"/>
              </w:rPr>
            </w:pPr>
          </w:p>
        </w:tc>
        <w:tc>
          <w:tcPr>
            <w:tcW w:w="2297" w:type="dxa"/>
          </w:tcPr>
          <w:p>
            <w:pPr>
              <w:pStyle w:val="8"/>
              <w:spacing w:before="195"/>
              <w:ind w:right="3"/>
              <w:jc w:val="right"/>
              <w:rPr>
                <w:rFonts w:ascii="Times New Roman"/>
                <w:sz w:val="21"/>
              </w:rPr>
            </w:pPr>
          </w:p>
        </w:tc>
        <w:tc>
          <w:tcPr>
            <w:tcW w:w="3298" w:type="dxa"/>
          </w:tcPr>
          <w:p>
            <w:pPr>
              <w:pStyle w:val="8"/>
              <w:spacing w:before="1"/>
              <w:ind w:left="834" w:right="827"/>
              <w:jc w:val="center"/>
              <w:rPr>
                <w:sz w:val="21"/>
              </w:rPr>
            </w:pPr>
          </w:p>
        </w:tc>
        <w:tc>
          <w:tcPr>
            <w:tcW w:w="2372" w:type="dxa"/>
          </w:tcPr>
          <w:p>
            <w:pPr>
              <w:pStyle w:val="8"/>
              <w:spacing w:before="195"/>
              <w:ind w:right="2"/>
              <w:jc w:val="right"/>
              <w:rPr>
                <w:rFonts w:ascii="Times New Roman"/>
                <w:sz w:val="21"/>
              </w:rPr>
            </w:pPr>
          </w:p>
        </w:tc>
      </w:tr>
    </w:tbl>
    <w:p/>
    <w:sectPr>
      <w:pgSz w:w="16840" w:h="11910" w:orient="landscape"/>
      <w:pgMar w:top="1340" w:right="100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371A3"/>
    <w:rsid w:val="00046CBB"/>
    <w:rsid w:val="00287274"/>
    <w:rsid w:val="002F6276"/>
    <w:rsid w:val="002F6848"/>
    <w:rsid w:val="00381B5A"/>
    <w:rsid w:val="004A5D91"/>
    <w:rsid w:val="00745777"/>
    <w:rsid w:val="007E69C9"/>
    <w:rsid w:val="007F79BB"/>
    <w:rsid w:val="00950142"/>
    <w:rsid w:val="009F2CC6"/>
    <w:rsid w:val="00A232A7"/>
    <w:rsid w:val="00A651E5"/>
    <w:rsid w:val="00B01A1C"/>
    <w:rsid w:val="00B35852"/>
    <w:rsid w:val="00B67CBB"/>
    <w:rsid w:val="00BA1CE4"/>
    <w:rsid w:val="00C72583"/>
    <w:rsid w:val="00CB15B6"/>
    <w:rsid w:val="00D87CE9"/>
    <w:rsid w:val="00E371A3"/>
    <w:rsid w:val="612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日期 Char"/>
    <w:basedOn w:val="5"/>
    <w:link w:val="3"/>
    <w:semiHidden/>
    <w:uiPriority w:val="99"/>
    <w:rPr>
      <w:rFonts w:ascii="宋体" w:hAnsi="宋体" w:eastAsia="宋体" w:cs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</Words>
  <Characters>898</Characters>
  <Lines>7</Lines>
  <Paragraphs>2</Paragraphs>
  <TotalTime>85</TotalTime>
  <ScaleCrop>false</ScaleCrop>
  <LinksUpToDate>false</LinksUpToDate>
  <CharactersWithSpaces>1053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2024-06-19T01:51:00Z</dcterms:created>
  <dc:creator>Administrator</dc:creator>
  <cp:lastModifiedBy>Administrator</cp:lastModifiedBy>
  <dcterms:modified xsi:type="dcterms:W3CDTF">2024-06-24T08:37:34Z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  <property fmtid="{D5CDD505-2E9C-101B-9397-08002B2CF9AE}" pid="4" name="KSOProductBuildVer">
    <vt:lpwstr>2052-11.1.0.9021</vt:lpwstr>
  </property>
</Properties>
</file>